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6D57D3" w:rsidRPr="00FC1125" w:rsidTr="00F62247">
        <w:tc>
          <w:tcPr>
            <w:tcW w:w="3652" w:type="dxa"/>
          </w:tcPr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Российская Федерация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Собрание представителей 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сельского поселения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Малое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муниципального района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</w:t>
            </w:r>
            <w:proofErr w:type="spellStart"/>
            <w:r w:rsidRPr="006D57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Самарской области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третьего созыва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РЕШЕНИЕ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         </w:t>
            </w:r>
            <w:r w:rsidRPr="006D57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13.04.2020 № 149-1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 исполнении бюджета сельского 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за 2019год</w:t>
            </w:r>
          </w:p>
          <w:p w:rsidR="006D57D3" w:rsidRPr="006D57D3" w:rsidRDefault="006D57D3" w:rsidP="00F6224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6D57D3" w:rsidRPr="00FC1125" w:rsidRDefault="006D57D3" w:rsidP="00F62247">
            <w:pP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3934" w:type="dxa"/>
          </w:tcPr>
          <w:p w:rsidR="006D57D3" w:rsidRPr="00FC1125" w:rsidRDefault="006D57D3" w:rsidP="00F62247">
            <w:pPr>
              <w:tabs>
                <w:tab w:val="left" w:pos="5580"/>
              </w:tabs>
              <w:jc w:val="right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</w:tr>
    </w:tbl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125">
        <w:rPr>
          <w:rFonts w:ascii="Times New Roman" w:eastAsia="Times New Roman" w:hAnsi="Times New Roman"/>
          <w:sz w:val="14"/>
          <w:szCs w:val="14"/>
          <w:lang w:eastAsia="ar-SA"/>
        </w:rPr>
        <w:t xml:space="preserve">     </w:t>
      </w: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Рассмотрев проект решения «Об исполнении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год», Заключение комиссии по местному самоуправлению по результатам публичных слушаний по отчету «Об исполнении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год»,  Собрание представителей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57D3" w:rsidRPr="006D57D3" w:rsidRDefault="006D57D3" w:rsidP="006D57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>РЕШИЛО: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1. Утвердить годовой отчет об исполнении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 (далее – годовой отчет), по доходам в сумме  8683,7 тыс. рублей и расходам в сумме 8595,8 тыс. рублей с превышением доходов над расходами в сумме 87,9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ублей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2. Утвердить следующие показатели годового отчета: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доходы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 по кодам классификации доходов бюджетов согласно приложению 1 к настоящему Решению;</w:t>
      </w:r>
      <w:proofErr w:type="gramEnd"/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доходы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расходы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 по ведомственной структуре расходов бюджета района согласно приложению 3 к настоящему Решению;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расходы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 по разделам и подразделам классификации расходов бюджетов согласно приложению 4 к настоящему Решению;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источники финансирования дефицита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в 2019 году по кодам 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классификации источников финансирования дефицитов бюджетов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согласно приложению 5 к настоящему Решению;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источники финансирования дефицита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в 2019 году по кодам групп, подгрупп, статей, видов 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3.  Использование в 2019 году бюджетных ассигнований резервного фонда Администрации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не производилось.</w:t>
      </w:r>
    </w:p>
    <w:p w:rsidR="006D57D3" w:rsidRPr="006D57D3" w:rsidRDefault="006D57D3" w:rsidP="006D57D3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Опубликовать настоящее Решение в газете «Вестник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6D57D3" w:rsidRPr="006D57D3" w:rsidRDefault="006D57D3" w:rsidP="006D57D3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Настоящее Решение вступает в силу со дня его опубликования.</w:t>
      </w:r>
    </w:p>
    <w:p w:rsidR="006D57D3" w:rsidRPr="006D57D3" w:rsidRDefault="006D57D3" w:rsidP="006D57D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7D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ru-RU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ru-RU"/>
        </w:rPr>
        <w:t>Е.В.Юсупова</w:t>
      </w:r>
      <w:proofErr w:type="spellEnd"/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Собрания </w:t>
      </w:r>
    </w:p>
    <w:p w:rsidR="006D57D3" w:rsidRPr="006D57D3" w:rsidRDefault="006D57D3" w:rsidP="006D57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представителей поселения                                                             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Н.Г.Васильева</w:t>
      </w:r>
      <w:proofErr w:type="spellEnd"/>
    </w:p>
    <w:p w:rsidR="006D57D3" w:rsidRPr="006D57D3" w:rsidRDefault="006D57D3" w:rsidP="006D57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 к Отчету</w:t>
      </w:r>
    </w:p>
    <w:p w:rsidR="006D57D3" w:rsidRPr="006D57D3" w:rsidRDefault="006D57D3" w:rsidP="006D57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исполнении бюджета сельского поселения  Малое </w:t>
      </w:r>
      <w:proofErr w:type="spellStart"/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района </w:t>
      </w:r>
      <w:proofErr w:type="spellStart"/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>за 2019 год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Доходы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</w:t>
      </w:r>
      <w:r w:rsidRPr="006D57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2019 год составили 8683,7 тыс. руб., в т. ч. поступления налоговых и неналоговых доходов составляют 3413,6 тыс. руб. (удельный вес – 39,3%), безвозмездные поступления составляют 5270,0 тыс. руб. (удельный вес – 60,7%). В целом доходы бюджета поселения по сравнению с 2018 годом увеличились на 2693,7 тыс. руб. (2018г. – 5990,0 тыс. руб.). Безвозмездные поступления относительно 2018 года (2018г. – 3188,8 тыс. руб.) увеличились на 1445,7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 Наблюдается увеличение объема налоговых и неналоговых  доходов бюджета поселения по сравнению с прошлым годом (2018г. – 2801,2 тыс. руб.) на 612,4 тыс. руб. 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Фактическое исполнение налога на доходы физических лиц в 2019 году составило                       175,0 тыс. руб. Удельный вес данного источника в общей сумме налоговых и неналоговых доходов составляет 2,0%. По сравнению с прошлым годом налога поступило на 3,1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 меньше (</w:t>
      </w:r>
      <w:smartTag w:uri="urn:schemas-microsoft-com:office:smarttags" w:element="metricconverter">
        <w:smartTagPr>
          <w:attr w:name="ProductID" w:val="2018 г"/>
        </w:smartTagPr>
        <w:r w:rsidRPr="006D57D3">
          <w:rPr>
            <w:rFonts w:ascii="Times New Roman" w:eastAsia="Times New Roman" w:hAnsi="Times New Roman"/>
            <w:sz w:val="24"/>
            <w:szCs w:val="24"/>
            <w:lang w:eastAsia="ar-SA"/>
          </w:rPr>
          <w:t>2018 г</w:t>
        </w:r>
      </w:smartTag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.- 178,1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.)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Налоги на товары на территории РФ (доходы от уплаты акцизов на дизельное топливо, на моторные масла, на автомобильный, прямогонный бензин), составили 1864,9 тыс. руб. Удельный вес данного источника в общей сумме налоговых и неналоговых доходов составляет 54,6 %. По сравнению с прошлым годом налога поступило на 219,1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 больше (</w:t>
      </w:r>
      <w:smartTag w:uri="urn:schemas-microsoft-com:office:smarttags" w:element="metricconverter">
        <w:smartTagPr>
          <w:attr w:name="ProductID" w:val="2018 г"/>
        </w:smartTagPr>
        <w:r w:rsidRPr="006D57D3">
          <w:rPr>
            <w:rFonts w:ascii="Times New Roman" w:eastAsia="Times New Roman" w:hAnsi="Times New Roman"/>
            <w:sz w:val="24"/>
            <w:szCs w:val="24"/>
            <w:lang w:eastAsia="ar-SA"/>
          </w:rPr>
          <w:t>2018 г</w:t>
        </w:r>
      </w:smartTag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.- 1465,6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.)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Удельный вес единого сельскохозяйственного налога составляет 4,9 %, исполнение составило 167,5 тыс. руб. По сравнению с прошлым годом   (2018г. – 106,9 тыс. руб.) ЕСХН поступило на 60,6 тыс. руб. больше.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Налог на имущество физических лиц в 2019 году составил 177,4 тыс. руб. что по сравнению с прошлым годом увеличился на 58,5 тыс. руб. (</w:t>
      </w:r>
      <w:smartTag w:uri="urn:schemas-microsoft-com:office:smarttags" w:element="metricconverter">
        <w:smartTagPr>
          <w:attr w:name="ProductID" w:val="2018 г"/>
        </w:smartTagPr>
        <w:r w:rsidRPr="006D57D3">
          <w:rPr>
            <w:rFonts w:ascii="Times New Roman" w:eastAsia="Times New Roman" w:hAnsi="Times New Roman"/>
            <w:sz w:val="24"/>
            <w:szCs w:val="24"/>
            <w:lang w:eastAsia="ar-SA"/>
          </w:rPr>
          <w:t>2018 г</w:t>
        </w:r>
      </w:smartTag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 – 118,9 тыс. руб.). Удельный вес данного источника в общей сумме налоговых и неналоговых доходов составляет 5,2 %.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Земельный налог в 2019 году составил 930,9 тыс. руб., удельный вес данного источника в общей сумме налоговых и неналоговых доходов составляет 27,3%. Плановые показатели выполнены на 75,7% (план 1229,0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., факт 930,9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.). По сравнению с прошлым годом увеличилось на 238,9 тыс. руб. (</w:t>
      </w:r>
      <w:smartTag w:uri="urn:schemas-microsoft-com:office:smarttags" w:element="metricconverter">
        <w:smartTagPr>
          <w:attr w:name="ProductID" w:val="2018 г"/>
        </w:smartTagPr>
        <w:r w:rsidRPr="006D57D3">
          <w:rPr>
            <w:rFonts w:ascii="Times New Roman" w:eastAsia="Times New Roman" w:hAnsi="Times New Roman"/>
            <w:sz w:val="24"/>
            <w:szCs w:val="24"/>
            <w:lang w:eastAsia="ar-SA"/>
          </w:rPr>
          <w:t>2018 г</w:t>
        </w:r>
      </w:smartTag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 – 692,0 тыс. руб.). 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Удельный вес в общей сумме налоговых и неналоговых доходов по государственной пошлине составляет 0,04 %, поступления составили 1,3 тыс. руб. По сравнению с прошлым годом (2018г. – 39,8 тыс. руб.) платы поступило на 38,5 тыс. руб. меньше. 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в 2019 году составили 77,8 тыс. руб. (Удельный вес в сумме неналоговых и налоговых доходов составил 2,3%). По сравнению с 2018г. доходов от аренды имущества поступило на 57,9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 больше. (2018г.-19,9 тыс. руб.).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Доходы от продажи материальных и нематериальных активов составили  10,2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 Удельный вес данного дохода  в общей сумме налоговых и неналоговых доходов составил 0,3%.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Безвозмездные поступления составили 5270,0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уб.и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поступили в виде: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- дотации бюджетам поселений на выравнивание уровня бюджетной обеспеченности за счет средств  бюджета района – 571,6 тыс. руб.; 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- дотации бюджетам поселений на выравнивание уровня бюджетной обеспеченности за счет средств  областного бюджета – 36,3 тыс. руб.; 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- прочие дотации -28,4 тыс. руб.;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прочие субсидии бюджетам поселений в бюджет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поступило 3873,4 тыс. руб., в том числе: поступление стимулирующих субсидий в сумме 2231,5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софинаннсирование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из областного бюджета на строительство Аллеи Славы в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с.М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584,4 тыс. руб.; субсидии 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сторительство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, модернизацию и содержание автомобильных дорог 1 057,5тыс.руб.;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- субвенции бюджетам поселений на осуществление первичного воинского учета  на территориях, где отсутствуют военные комиссариаты  – 82,3 тыс. руб.;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-Межбюджетные трансферты, передаваемые бюджетам сельских поселений из бюджета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мр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осуществление части полномочий вопросов местного значения  в соответствии с заключенными соглашениями 42,4тыс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уб.;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-Безвозмездные поступления  от негосударственных организаций в бюджет сельского поселения 527,5тыс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уб.;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-Прочие безвозмездные поступления в бюджет сельского поселения  108,0тыс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Исполнение расходной части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за 2019 год составило 8 595,8 тыс. руб. В целом расходы бюджета по сравнению с 2018 годом увеличились  на 2700,6 тыс. руб. (2018г. – 5895,2 тыс. руб.). 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На «Общегосударственные вопросы» в 2019 году было фактически направлено 1682,2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., что меньше по сравнению с 2018 годом на 131,9 тыс. руб. (2018г. – 1814,1 тыс. руб.). Удельный вес в общем объёме расходов составил 19,6 %.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В разделе «Мобилизационная и вневойсковая подготовка» исполнение составило 82,3 тыс. руб., что меньше по сравнению с 2018 годом на 0,9 тыс. руб. (2018г. – 83,2 тыс. руб.),                        Удельный вес в расходах бюджета составляет 1,0 %.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разделе «Защита населения и территории от чрезвычайных ситуаций природного и техногенного характера, гражданская оборона» по плану было предусмотрено 34,5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., исполнение составило 34,5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., что составляет 100 % к годовому плану. Удельный вес в расходах бюджета составляет 0,4%.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разделе «Обеспечение пожарной безопасности» исполнение составило 100% (план -80,6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.; факт  -80,6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.). Удельный вес в расходах бюджета составил 0,9%.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разделе «Другие вопросы в области национальной безопасности и правоохранительной деятельности» по плану было предусмотрен 42,5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., исполнение составило 42,5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., что составляет 100 % к годовому плану. Удельный вес в расходах бюджета составляет 0,5 %.    (выплачено материальное вознаграждение ДНД).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В разделе «Сельское хозяйство и рыболовство» исполнение составило 102,0 тыс. руб., (2018г. – 89,0 тыс. руб.). Удельный вес в расходах бюджета составляет 1,2 %.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раздел «Дорожное хозяйство (дорожные фонды)» фактически израсходовано                        3056,0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., что больше по сравнению с 2018 годом на 1712,1 тыс. руб. (2018г. – 1343,9 тыс. руб.). Удельный вес в расходах бюджета составляет 35,6 %. 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 разделу «Жилищно-коммунальное хозяйство» исполнение составило 1800,3 тыс. руб., что больше по сравнению с 2018 годом на 632,4 тыс. руб. (2018г. –1167,9 тыс. руб.). Удельный вес в общем объеме расходов составил  20,9%.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 разделу «Культура» исполнение составило 1654,7 тыс. руб., что больше по сравнению с 2018 годом на 435,4 тыс. руб. (2018г. – 1219,3 тыс. руб.), вес</w:t>
      </w:r>
      <w:r w:rsidRPr="006D57D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</w:t>
      </w: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в расходах бюджета составил 19,2 %. В 2019 году проводились мероприятия по благоустройству памятников, находящихся на территории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На физкультуру и спорт исполнение составило 18,1 тыс. руб., что больше по сравнению с 2018годом на 5,2 тыс. руб. (2018г. – 12,9 тыс. руб.), в связи с увеличением спортивных мероприятий в селе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  Удельный вес в расходах бюджета составила 0,2%.</w:t>
      </w: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В 2019 году профицит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составил 87,9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ублей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В сельском поселении в 2019 году реализована муниципальная программа «Комплексное развитие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4"/>
          <w:szCs w:val="24"/>
          <w:lang w:eastAsia="ar-SA"/>
        </w:rPr>
        <w:t xml:space="preserve"> Самарской области на 2018-2022 годы». Общая сумма расходов, осуществлённых в рамках муниципальной программы сельского поселения, составила – 6544,6 тыс. рублей, что соответствует 76,1 % общей суммы расходов.</w:t>
      </w: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7D3" w:rsidRPr="006D57D3" w:rsidRDefault="006D57D3" w:rsidP="006D57D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к Решению «Об исполнении бюджета 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Ибряйкино</w:t>
      </w:r>
      <w:proofErr w:type="spellEnd"/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за 2019 год»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Доходы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по кодам классификации доходов бюджета за 2019 год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1988"/>
        <w:gridCol w:w="5529"/>
        <w:gridCol w:w="1275"/>
      </w:tblGrid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Код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6D57D3" w:rsidRPr="006D57D3" w:rsidRDefault="006D57D3" w:rsidP="00F6224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нистра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6D57D3" w:rsidRPr="006D57D3" w:rsidRDefault="006D57D3" w:rsidP="00F6224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Исполнено,</w:t>
            </w:r>
          </w:p>
          <w:p w:rsidR="006D57D3" w:rsidRPr="006D57D3" w:rsidRDefault="006D57D3" w:rsidP="00F6224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Федеральное казначейство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1864,9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10302000010000110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1864,9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1450,8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10102000010000110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175,0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0503000010000110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167,5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106010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177,4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106060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110,8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106060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820,1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Ибрйкино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5368,0</w:t>
            </w:r>
          </w:p>
        </w:tc>
      </w:tr>
      <w:tr w:rsidR="006D57D3" w:rsidRPr="006D57D3" w:rsidTr="00F62247">
        <w:trPr>
          <w:trHeight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10804020010000110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1,3</w:t>
            </w:r>
          </w:p>
        </w:tc>
      </w:tr>
    </w:tbl>
    <w:p w:rsidR="006D57D3" w:rsidRPr="006D57D3" w:rsidRDefault="006D57D3" w:rsidP="006D57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1988"/>
        <w:gridCol w:w="5529"/>
        <w:gridCol w:w="1275"/>
      </w:tblGrid>
      <w:tr w:rsidR="006D57D3" w:rsidRPr="006D57D3" w:rsidTr="00F62247">
        <w:trPr>
          <w:trHeight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11105035100000120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77,8</w:t>
            </w:r>
          </w:p>
        </w:tc>
      </w:tr>
      <w:tr w:rsidR="006D57D3" w:rsidRPr="006D57D3" w:rsidTr="00F62247">
        <w:trPr>
          <w:trHeight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11402053100000410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10,2</w:t>
            </w:r>
          </w:p>
        </w:tc>
      </w:tr>
      <w:tr w:rsidR="006D57D3" w:rsidRPr="006D57D3" w:rsidTr="00F62247">
        <w:trPr>
          <w:trHeight w:val="2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11705050100000180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</w:t>
            </w:r>
          </w:p>
        </w:tc>
      </w:tr>
      <w:tr w:rsidR="006D57D3" w:rsidRPr="006D57D3" w:rsidTr="00F62247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20215001100000150</w:t>
            </w:r>
          </w:p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607,9</w:t>
            </w:r>
          </w:p>
        </w:tc>
      </w:tr>
      <w:tr w:rsidR="006D57D3" w:rsidRPr="006D57D3" w:rsidTr="00F62247">
        <w:trPr>
          <w:trHeight w:val="2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20219999100000150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28,4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20229999100000150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2815,9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20220041100000150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1057,5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20240014100000150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42,4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351181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0000015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20405099100000150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527,5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20705020100000150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108,0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2801,2</w:t>
            </w:r>
          </w:p>
        </w:tc>
      </w:tr>
      <w:tr w:rsidR="006D57D3" w:rsidRPr="006D57D3" w:rsidTr="00F622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8683,7</w:t>
            </w:r>
          </w:p>
        </w:tc>
      </w:tr>
    </w:tbl>
    <w:p w:rsidR="006D57D3" w:rsidRPr="006D57D3" w:rsidRDefault="006D57D3" w:rsidP="006D57D3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Приложение 2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к Решению «Об исполнении бюджета 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 за 2019 год»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Доходы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024"/>
        <w:gridCol w:w="921"/>
      </w:tblGrid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 вида (группы, подгруппы, статьи, подстатьи, элемента)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Исполнено,</w:t>
            </w:r>
          </w:p>
          <w:p w:rsidR="006D57D3" w:rsidRPr="006D57D3" w:rsidRDefault="006D57D3" w:rsidP="00F62247">
            <w:pPr>
              <w:tabs>
                <w:tab w:val="left" w:pos="1692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10000000000000000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Налоговые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неналоговые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доходы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3413,6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10100000000000000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175,0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10102000010000110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Налог на доходы физических лиц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175,0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10102010011000110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(налог)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10102010012100110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(пени)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10102030011000110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лицами, в соответствии со статьёй 228 НК РФ (недоимка)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10102030012100110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лицами, в соответствии со статьёй 228 НК РФ (пени)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1010203001300110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(штрафы)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10300000000000000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1864,9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1030200001000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1864,9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0302230010000110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848,9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10302240010000110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инжекторных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10302250010000110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1134,0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10302260010000110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-124,3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10500000000000000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167,5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167,5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10503010010000110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167,5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10600000000000000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Налоги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на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имущество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1108,3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  <w:t>10601000000000110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Налог на имущество физических лиц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177,4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10601030100000110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177,4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  <w:t>10606000000000110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  <w:t>Земельный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ar-SA"/>
              </w:rPr>
              <w:t>налог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930,9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106060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33101000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 с организаций, обладающих земельным участком, 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110,6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lastRenderedPageBreak/>
              <w:t>106060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33102100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10606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043101000110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813,9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10606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043102100110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6,2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>10800000000000000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10804000010000110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1080402001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1,3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11100000000000000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77,8</w:t>
            </w:r>
          </w:p>
        </w:tc>
      </w:tr>
    </w:tbl>
    <w:p w:rsidR="006D57D3" w:rsidRPr="006D57D3" w:rsidRDefault="006D57D3" w:rsidP="006D57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20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024"/>
        <w:gridCol w:w="921"/>
        <w:gridCol w:w="2339"/>
      </w:tblGrid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11105025100000120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57,7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11105030000000120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власти</w:t>
            </w: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,о</w:t>
            </w:r>
            <w:proofErr w:type="gram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рганов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11105035100000120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11400000000000000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10,2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11402050100000410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10,2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11402053100000410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10,2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11700000000000000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8,8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11705000000000000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11705050100000180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20000000000000000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Безвозмездные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поступления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</w:p>
          <w:p w:rsidR="006D57D3" w:rsidRPr="006D57D3" w:rsidRDefault="006D57D3" w:rsidP="00F62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5269,9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20200000000000000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4634,5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02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00000000015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Дотации бюджетам субъектов РФ и муниципальных образований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636,3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00100000015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на выравнивание уровня бюджетной обеспеченности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607,9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00110000015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607,9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20219999000000150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дотации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28,4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20219999100000150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28,4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20220000000000150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3873,4</w:t>
            </w: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20220041000000150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97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федерального значения)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1057,5</w:t>
            </w:r>
          </w:p>
        </w:tc>
        <w:tc>
          <w:tcPr>
            <w:tcW w:w="2339" w:type="dxa"/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20220041100000150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1057,5</w:t>
            </w:r>
          </w:p>
        </w:tc>
        <w:tc>
          <w:tcPr>
            <w:tcW w:w="2339" w:type="dxa"/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20229999000000150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субсидии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2815,9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20229999100000150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субсидии бюджетам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2815,9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202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0000000001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Субвенции бюджетам субъектов РФ и муниципальных образований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235118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00000015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351180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20240000000000150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42,4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20240014000000150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42,4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20240014100000150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42,4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20400000000000000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527,5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20405000100000150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527,5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20405099100000150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527,5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20700000000000000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108,0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20705000100000150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108,0</w:t>
            </w:r>
          </w:p>
        </w:tc>
      </w:tr>
      <w:tr w:rsidR="006D57D3" w:rsidRPr="006D57D3" w:rsidTr="00F62247">
        <w:trPr>
          <w:gridAfter w:val="1"/>
          <w:wAfter w:w="2339" w:type="dxa"/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20705020100000150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108,0</w:t>
            </w:r>
          </w:p>
        </w:tc>
      </w:tr>
      <w:tr w:rsidR="006D57D3" w:rsidRPr="006D57D3" w:rsidTr="00F62247">
        <w:trPr>
          <w:gridAfter w:val="1"/>
          <w:wAfter w:w="2339" w:type="dxa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8683,7</w:t>
            </w:r>
          </w:p>
        </w:tc>
      </w:tr>
    </w:tbl>
    <w:p w:rsidR="006D57D3" w:rsidRPr="006D57D3" w:rsidRDefault="006D57D3" w:rsidP="006D57D3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Приложение 3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к Решению «Об исполнении бюджета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 за 2019 год»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Расходы бюджета по ведомственной структуре расходов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за 2019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007"/>
        <w:gridCol w:w="847"/>
        <w:gridCol w:w="690"/>
        <w:gridCol w:w="1188"/>
        <w:gridCol w:w="662"/>
        <w:gridCol w:w="897"/>
        <w:gridCol w:w="1108"/>
      </w:tblGrid>
      <w:tr w:rsidR="006D57D3" w:rsidRPr="006D57D3" w:rsidTr="00F6224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Код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ГРБС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Рз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ПР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ЦСР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ВР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Сумма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тыс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.</w:t>
            </w:r>
          </w:p>
        </w:tc>
      </w:tr>
      <w:tr w:rsidR="006D57D3" w:rsidRPr="006D57D3" w:rsidTr="00F6224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всего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за счет средств областного и федерального бюджетов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8</w:t>
            </w:r>
          </w:p>
        </w:tc>
      </w:tr>
      <w:tr w:rsidR="006D57D3" w:rsidRPr="006D57D3" w:rsidTr="00F62247">
        <w:trPr>
          <w:trHeight w:val="3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ar-SA"/>
              </w:rPr>
              <w:t>40</w:t>
            </w:r>
            <w:r w:rsidRPr="006D57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Похвистневский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8595,8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3994,8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625,0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571,1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571,1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571,1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571,1</w:t>
            </w:r>
          </w:p>
        </w:tc>
      </w:tr>
    </w:tbl>
    <w:p w:rsidR="006D57D3" w:rsidRPr="006D57D3" w:rsidRDefault="006D57D3" w:rsidP="006D57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007"/>
        <w:gridCol w:w="847"/>
        <w:gridCol w:w="690"/>
        <w:gridCol w:w="1188"/>
        <w:gridCol w:w="662"/>
        <w:gridCol w:w="897"/>
        <w:gridCol w:w="1108"/>
      </w:tblGrid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944,9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944,9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610,4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137,5</w:t>
            </w:r>
          </w:p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67,8</w:t>
            </w:r>
          </w:p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Иные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межбюджетные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8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Другие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общегосударственные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вопросы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Подпрограмма « Развитие муниципальной службы в сельском поселении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55Б000000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55Б000000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Подпрограмма « Развитие информационного общества в сельском поселении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55В000000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55В000000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82,3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bookmarkStart w:id="0" w:name="_GoBack"/>
            <w:bookmarkEnd w:id="0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80,6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6,5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Подпрограмма "Предупреждение и ликвидация последствий чрезвычайных 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ситуаций и стихийных бедствий на территории муниципального образования на 2018-2022годы"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lastRenderedPageBreak/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540000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540000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ar-SA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80,6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75,0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80,6</w:t>
            </w:r>
          </w:p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 на 2018-2022годы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Сельское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рыболовство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144,4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141,1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144,4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141,1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9040000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144,4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141,1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42,4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39,0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9040000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102,0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Дорожное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дорожные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фонды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3056,0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1057,5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3056,0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1057,5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3056,0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1057,5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3056,0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1057,5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Коммунальное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53,6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52,8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Муниципальная программа «Комплексное развитие сельского поселения Малое 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52,8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52,8</w:t>
            </w:r>
          </w:p>
        </w:tc>
      </w:tr>
    </w:tbl>
    <w:p w:rsidR="006D57D3" w:rsidRPr="006D57D3" w:rsidRDefault="006D57D3" w:rsidP="006D57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007"/>
        <w:gridCol w:w="847"/>
        <w:gridCol w:w="690"/>
        <w:gridCol w:w="1188"/>
        <w:gridCol w:w="662"/>
        <w:gridCol w:w="897"/>
        <w:gridCol w:w="1108"/>
      </w:tblGrid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510000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52,8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1746,9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1256,4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Муниципальная программа «Комплексное развитие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1256,4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520000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834,3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520000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799,8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</w:tr>
      <w:tr w:rsidR="006D57D3" w:rsidRPr="006D57D3" w:rsidTr="00F62247">
        <w:trPr>
          <w:trHeight w:val="37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422,1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411,8</w:t>
            </w: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rPr>
          <w:trHeight w:val="3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1654,7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9080000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Иные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межбюджетные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9080000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9080000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Физическая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культура</w:t>
            </w:r>
            <w:proofErr w:type="spellEnd"/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Самарской области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rPr>
          <w:trHeight w:val="6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</w:tbl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Приложение 4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к Решению «Об исполнении бюджета 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 за 2019 год»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Расходы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на 2019 год  по разделам и подразделам классификации расходов бюджета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849"/>
        <w:gridCol w:w="1153"/>
        <w:gridCol w:w="1840"/>
        <w:gridCol w:w="1321"/>
      </w:tblGrid>
      <w:tr w:rsidR="006D57D3" w:rsidRPr="006D57D3" w:rsidTr="00F62247"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Р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аздел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П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одраздел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</w:t>
            </w:r>
          </w:p>
        </w:tc>
      </w:tr>
      <w:tr w:rsidR="006D57D3" w:rsidRPr="006D57D3" w:rsidTr="00F62247"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D3" w:rsidRPr="006D57D3" w:rsidRDefault="006D57D3" w:rsidP="00F622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всего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за счет средств областного и федерального бюджетов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lastRenderedPageBreak/>
              <w:t xml:space="preserve">Администрация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Похвистневский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8595,8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3994,8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Общегосударственные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вопросы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1682,2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1329,7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571,1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944,9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678,3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80,3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Национальная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оборона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82,3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Мобилизационная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вневойсковая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157,6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75,0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75,0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Национальная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экономика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3200,4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1198,6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Сельское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рыболовство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141,1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Дорожное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дорожные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фонды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1057,5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Жилищно-коммунальное</w:t>
            </w:r>
            <w:proofErr w:type="spellEnd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1800,5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1309,2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Жилищно-коммунальное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52,8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1746,9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1256,4</w:t>
            </w: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1654,7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1654,7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18,1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6D57D3" w:rsidRPr="006D57D3" w:rsidTr="00F6224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Физическая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культура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</w:tr>
    </w:tbl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Приложение 5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к Решению «Об исполнении бюджета 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Ибряйкино</w:t>
      </w:r>
      <w:proofErr w:type="spellEnd"/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за 2019год»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Источники финансирования дефицита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в 2019 году по кодам </w:t>
      </w:r>
      <w:proofErr w:type="gram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классификации источников финансирования дефицитов бюджетов</w:t>
      </w:r>
      <w:proofErr w:type="gramEnd"/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18"/>
        <w:gridCol w:w="3227"/>
        <w:gridCol w:w="3397"/>
        <w:gridCol w:w="1239"/>
      </w:tblGrid>
      <w:tr w:rsidR="006D57D3" w:rsidRPr="006D57D3" w:rsidTr="00F62247">
        <w:trPr>
          <w:trHeight w:val="47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Код главного администратора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Исполнено,</w:t>
            </w:r>
          </w:p>
          <w:p w:rsidR="006D57D3" w:rsidRPr="006D57D3" w:rsidRDefault="006D57D3" w:rsidP="00F6224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D57D3" w:rsidRPr="006D57D3" w:rsidTr="00F62247">
        <w:trPr>
          <w:trHeight w:val="30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ИСТОЧНИКИ ФИНАНСИРОВАНИЯ ДЕФИЦИТОВ БЮДЖЕТА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-87,9</w:t>
            </w:r>
          </w:p>
        </w:tc>
      </w:tr>
      <w:tr w:rsidR="006D57D3" w:rsidRPr="006D57D3" w:rsidTr="00F62247">
        <w:trPr>
          <w:trHeight w:val="31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000000000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-87,9</w:t>
            </w:r>
          </w:p>
        </w:tc>
      </w:tr>
      <w:tr w:rsidR="006D57D3" w:rsidRPr="006D57D3" w:rsidTr="00F62247">
        <w:trPr>
          <w:trHeight w:val="15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Увеличение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бюджет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</w:tbl>
    <w:p w:rsidR="006D57D3" w:rsidRPr="006D57D3" w:rsidRDefault="006D57D3" w:rsidP="006D57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18"/>
        <w:gridCol w:w="3227"/>
        <w:gridCol w:w="3397"/>
        <w:gridCol w:w="1239"/>
      </w:tblGrid>
      <w:tr w:rsidR="006D57D3" w:rsidRPr="006D57D3" w:rsidTr="00F62247">
        <w:trPr>
          <w:trHeight w:val="16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  <w:tr w:rsidR="006D57D3" w:rsidRPr="006D57D3" w:rsidTr="00F62247">
        <w:trPr>
          <w:trHeight w:val="30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000000510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  <w:tr w:rsidR="006D57D3" w:rsidRPr="006D57D3" w:rsidTr="00F62247">
        <w:trPr>
          <w:trHeight w:val="31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0000510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  <w:tr w:rsidR="006D57D3" w:rsidRPr="006D57D3" w:rsidTr="00F62247">
        <w:trPr>
          <w:trHeight w:val="15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Уменьшение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бюджет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  <w:tr w:rsidR="006D57D3" w:rsidRPr="006D57D3" w:rsidTr="00F62247">
        <w:trPr>
          <w:trHeight w:val="31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Уменьшение прочих остатков денежных средств бюджета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  <w:tr w:rsidR="006D57D3" w:rsidRPr="006D57D3" w:rsidTr="00F62247">
        <w:trPr>
          <w:trHeight w:val="15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  <w:tr w:rsidR="006D57D3" w:rsidRPr="006D57D3" w:rsidTr="00F62247">
        <w:trPr>
          <w:trHeight w:val="33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</w:tbl>
    <w:p w:rsidR="006D57D3" w:rsidRPr="006D57D3" w:rsidRDefault="006D57D3" w:rsidP="006D57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Приложение 6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к Решению «Об исполнении бюджета 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 за 2019 год»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Источники финансирования дефицита бюджета сельского поселения Малое </w:t>
      </w:r>
      <w:proofErr w:type="spell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Ибряйкино</w:t>
      </w:r>
      <w:proofErr w:type="spellEnd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2019 году по кодам групп, подгрупп, статей, видов </w:t>
      </w:r>
      <w:proofErr w:type="gramStart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6D57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управления, относящихся к источникам финансирования дефицита бюджета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36"/>
        <w:gridCol w:w="4188"/>
        <w:gridCol w:w="1757"/>
      </w:tblGrid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источника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tabs>
                <w:tab w:val="left" w:pos="558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Исполнено,</w:t>
            </w:r>
          </w:p>
          <w:p w:rsidR="006D57D3" w:rsidRPr="006D57D3" w:rsidRDefault="006D57D3" w:rsidP="00F6224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ИСТОЧНИКИ  ФИНАНСИРОВАНИЯ ДЕФИЦИТОВ БЮДЖЕТА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-87,9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000000000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-87,9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Увеличение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бюджет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-8683,7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Уменьшение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бюджет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Уменьшение прочих остатков денежных средств бюджета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  <w:tr w:rsidR="006D57D3" w:rsidRPr="006D57D3" w:rsidTr="00F6224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0000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6D57D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D3" w:rsidRPr="006D57D3" w:rsidRDefault="006D57D3" w:rsidP="00F62247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8595,8</w:t>
            </w:r>
          </w:p>
        </w:tc>
      </w:tr>
    </w:tbl>
    <w:p w:rsidR="006D57D3" w:rsidRPr="006D57D3" w:rsidRDefault="006D57D3" w:rsidP="006D57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57D3" w:rsidRPr="006D57D3" w:rsidRDefault="006D57D3" w:rsidP="006D57D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к Решению «Об исполнении бюджета 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Ибряйкино</w:t>
      </w:r>
      <w:proofErr w:type="spellEnd"/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ar-SA"/>
        </w:rPr>
        <w:t>за 2019 год»</w:t>
      </w:r>
    </w:p>
    <w:p w:rsidR="006D57D3" w:rsidRPr="006D57D3" w:rsidRDefault="006D57D3" w:rsidP="006D57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Самарской области за  2019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6D57D3" w:rsidRPr="006D57D3" w:rsidTr="00F62247">
        <w:tc>
          <w:tcPr>
            <w:tcW w:w="4968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2700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денежное содержание                (тыс. руб.)</w:t>
            </w:r>
          </w:p>
        </w:tc>
      </w:tr>
      <w:tr w:rsidR="006D57D3" w:rsidRPr="006D57D3" w:rsidTr="00F62247">
        <w:tc>
          <w:tcPr>
            <w:tcW w:w="4968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00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1300,6</w:t>
            </w:r>
          </w:p>
        </w:tc>
      </w:tr>
      <w:tr w:rsidR="006D57D3" w:rsidRPr="006D57D3" w:rsidTr="00F62247">
        <w:tc>
          <w:tcPr>
            <w:tcW w:w="4968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700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7D3" w:rsidRPr="006D57D3" w:rsidTr="00F62247">
        <w:tc>
          <w:tcPr>
            <w:tcW w:w="4968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00" w:type="dxa"/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1300,6</w:t>
            </w:r>
          </w:p>
        </w:tc>
      </w:tr>
    </w:tbl>
    <w:p w:rsidR="006D57D3" w:rsidRPr="006D57D3" w:rsidRDefault="006D57D3" w:rsidP="006D57D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Глава поселения</w:t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ab/>
        <w:t>Юсупова Е.В.</w:t>
      </w:r>
    </w:p>
    <w:p w:rsidR="006D57D3" w:rsidRPr="006D57D3" w:rsidRDefault="006D57D3" w:rsidP="006D57D3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Похвистневский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Самарской области за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649"/>
        <w:gridCol w:w="1049"/>
        <w:gridCol w:w="805"/>
        <w:gridCol w:w="1216"/>
        <w:gridCol w:w="919"/>
        <w:gridCol w:w="1385"/>
      </w:tblGrid>
      <w:tr w:rsidR="006D57D3" w:rsidRPr="006D57D3" w:rsidTr="00F622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 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Исполнено, тыс. рублей  </w:t>
            </w:r>
          </w:p>
        </w:tc>
      </w:tr>
      <w:tr w:rsidR="006D57D3" w:rsidRPr="006D57D3" w:rsidTr="00F622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Малое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9010079900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3" w:rsidRPr="006D57D3" w:rsidRDefault="006D57D3" w:rsidP="00F622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D57D3" w:rsidRPr="006D57D3" w:rsidRDefault="006D57D3" w:rsidP="006D57D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сельского поселения Малое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Ибряйкино</w:t>
      </w:r>
      <w:proofErr w:type="spellEnd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proofErr w:type="spellStart"/>
      <w:r w:rsidRPr="006D57D3">
        <w:rPr>
          <w:rFonts w:ascii="Times New Roman" w:eastAsia="Times New Roman" w:hAnsi="Times New Roman"/>
          <w:sz w:val="20"/>
          <w:szCs w:val="20"/>
          <w:lang w:eastAsia="ru-RU"/>
        </w:rPr>
        <w:t>Е.В.Юсупова</w:t>
      </w:r>
      <w:proofErr w:type="spellEnd"/>
    </w:p>
    <w:p w:rsidR="001B0D44" w:rsidRPr="006D57D3" w:rsidRDefault="001B0D44">
      <w:pPr>
        <w:rPr>
          <w:sz w:val="20"/>
          <w:szCs w:val="20"/>
        </w:rPr>
      </w:pPr>
    </w:p>
    <w:sectPr w:rsidR="001B0D44" w:rsidRPr="006D57D3" w:rsidSect="006D57D3">
      <w:pgSz w:w="11906" w:h="16838"/>
      <w:pgMar w:top="397" w:right="707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E"/>
    <w:rsid w:val="001B0D44"/>
    <w:rsid w:val="00276D8E"/>
    <w:rsid w:val="006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5575</Words>
  <Characters>31781</Characters>
  <Application>Microsoft Office Word</Application>
  <DocSecurity>0</DocSecurity>
  <Lines>264</Lines>
  <Paragraphs>74</Paragraphs>
  <ScaleCrop>false</ScaleCrop>
  <Company/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2020-12-21T09:18:00Z</dcterms:created>
  <dcterms:modified xsi:type="dcterms:W3CDTF">2020-12-21T09:24:00Z</dcterms:modified>
</cp:coreProperties>
</file>