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E810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24.11</w:t>
            </w:r>
            <w:r w:rsidR="00AB74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.2021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9F765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69</w:t>
            </w:r>
          </w:p>
          <w:p w:rsidR="00B128FB" w:rsidRPr="009C2D59" w:rsidRDefault="00B128FB" w:rsidP="009C2D59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DE56E1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Правилами землепользования 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, от 04.12.2018 г. №116</w:t>
      </w:r>
      <w:r w:rsidR="000B6702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, от 17.12.2020 г</w:t>
      </w:r>
      <w:r w:rsidR="00AB740C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. №22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E8101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 № 5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E81014">
        <w:rPr>
          <w:rFonts w:ascii="Times New Roman" w:eastAsia="Calibri" w:hAnsi="Times New Roman" w:cs="Times New Roman"/>
          <w:sz w:val="26"/>
          <w:szCs w:val="26"/>
          <w:lang w:eastAsia="ar-SA"/>
        </w:rPr>
        <w:t>24.11</w:t>
      </w:r>
      <w:r w:rsidR="00AB740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Адыевой</w:t>
      </w:r>
      <w:proofErr w:type="spellEnd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Ирине Александровне,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Адыеву</w:t>
      </w:r>
      <w:proofErr w:type="spellEnd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Ильдару Рустамовичу,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Кених</w:t>
      </w:r>
      <w:proofErr w:type="spellEnd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Данилу Андреевичу,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Адыевой</w:t>
      </w:r>
      <w:proofErr w:type="spellEnd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Гульшане</w:t>
      </w:r>
      <w:proofErr w:type="spellEnd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Ильдаровне</w:t>
      </w:r>
      <w:proofErr w:type="spellEnd"/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63:29:1903004:583, площадью 2321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бласть,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вистневский</w:t>
      </w:r>
      <w:proofErr w:type="spell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артыновка</w:t>
      </w:r>
      <w:proofErr w:type="spellEnd"/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</w:t>
      </w:r>
      <w:r w:rsidR="00E8101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д.40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</w:t>
      </w:r>
      <w:r w:rsidR="002B4E2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 </w:t>
      </w:r>
      <w:r w:rsidR="00E810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северной стороны  до 1,32</w:t>
      </w:r>
      <w:r w:rsidR="009C2D5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E81014">
        <w:rPr>
          <w:rFonts w:ascii="Times New Roman" w:eastAsia="Calibri" w:hAnsi="Times New Roman" w:cs="Calibri"/>
          <w:sz w:val="26"/>
          <w:szCs w:val="26"/>
          <w:lang w:eastAsia="ar-SA"/>
        </w:rPr>
        <w:t>с 25.11.2021 года по 19.12</w:t>
      </w:r>
      <w:r w:rsidR="00AB740C">
        <w:rPr>
          <w:rFonts w:ascii="Times New Roman" w:eastAsia="Calibri" w:hAnsi="Times New Roman" w:cs="Calibri"/>
          <w:sz w:val="26"/>
          <w:szCs w:val="26"/>
          <w:lang w:eastAsia="ar-SA"/>
        </w:rPr>
        <w:t>.2021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E81014">
        <w:rPr>
          <w:rFonts w:ascii="Times New Roman" w:eastAsia="Calibri" w:hAnsi="Times New Roman" w:cs="Calibri"/>
          <w:sz w:val="26"/>
          <w:szCs w:val="26"/>
          <w:lang w:eastAsia="ar-SA"/>
        </w:rPr>
        <w:t>03.12</w:t>
      </w:r>
      <w:r w:rsidR="00BC5274">
        <w:rPr>
          <w:rFonts w:ascii="Times New Roman" w:eastAsia="Calibri" w:hAnsi="Times New Roman" w:cs="Calibri"/>
          <w:sz w:val="26"/>
          <w:szCs w:val="26"/>
          <w:lang w:eastAsia="ar-SA"/>
        </w:rPr>
        <w:t>.2021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E81014">
        <w:rPr>
          <w:rFonts w:ascii="Times New Roman" w:eastAsia="Calibri" w:hAnsi="Times New Roman" w:cs="Calibri"/>
          <w:sz w:val="26"/>
          <w:szCs w:val="26"/>
          <w:lang w:eastAsia="ar-SA"/>
        </w:rPr>
        <w:t>ается  16.12</w:t>
      </w:r>
      <w:r w:rsidR="00BC5274">
        <w:rPr>
          <w:rFonts w:ascii="Times New Roman" w:eastAsia="Calibri" w:hAnsi="Times New Roman" w:cs="Calibri"/>
          <w:sz w:val="26"/>
          <w:szCs w:val="26"/>
          <w:lang w:eastAsia="ar-SA"/>
        </w:rPr>
        <w:t>.2021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 w:rsidR="00E8101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Кавтаськину</w:t>
      </w:r>
      <w:proofErr w:type="spellEnd"/>
      <w:r w:rsidR="00E8101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Ларису Александровну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9C2D59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E81014" w:rsidRDefault="00E81014" w:rsidP="009C2D59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proofErr w:type="spellStart"/>
      <w:r w:rsidR="00B4724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И.о</w:t>
      </w:r>
      <w:proofErr w:type="gramStart"/>
      <w:r w:rsidR="00B4724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.Г</w:t>
      </w:r>
      <w:proofErr w:type="gramEnd"/>
      <w:r w:rsidR="00B4724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лавы</w:t>
      </w:r>
      <w:proofErr w:type="spellEnd"/>
      <w:r w:rsidR="00B4724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И.Н.Ульдярова</w:t>
      </w:r>
      <w:bookmarkStart w:id="0" w:name="_GoBack"/>
      <w:bookmarkEnd w:id="0"/>
    </w:p>
    <w:p w:rsidR="00E81014" w:rsidRPr="009C2D59" w:rsidRDefault="00E81014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9F765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25.11.2021 № 69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Не </w:t>
            </w:r>
            <w:r w:rsidR="000B670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позднее 7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F7655">
        <w:rPr>
          <w:rFonts w:ascii="Times New Roman" w:hAnsi="Times New Roman"/>
          <w:color w:val="auto"/>
          <w:sz w:val="24"/>
          <w:szCs w:val="24"/>
        </w:rPr>
        <w:t>25.11.2021 № 69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0B6702"/>
    <w:rsid w:val="00104A86"/>
    <w:rsid w:val="00114E83"/>
    <w:rsid w:val="00200069"/>
    <w:rsid w:val="002B4E20"/>
    <w:rsid w:val="003D389F"/>
    <w:rsid w:val="004D7C65"/>
    <w:rsid w:val="0054495D"/>
    <w:rsid w:val="006565BA"/>
    <w:rsid w:val="006827AD"/>
    <w:rsid w:val="00690265"/>
    <w:rsid w:val="008202CD"/>
    <w:rsid w:val="00891B7B"/>
    <w:rsid w:val="00900314"/>
    <w:rsid w:val="00957202"/>
    <w:rsid w:val="00972239"/>
    <w:rsid w:val="009C2D59"/>
    <w:rsid w:val="009F7655"/>
    <w:rsid w:val="00A60BBC"/>
    <w:rsid w:val="00A935A8"/>
    <w:rsid w:val="00AB740C"/>
    <w:rsid w:val="00B128FB"/>
    <w:rsid w:val="00B3790D"/>
    <w:rsid w:val="00B40F2C"/>
    <w:rsid w:val="00B47249"/>
    <w:rsid w:val="00B66F91"/>
    <w:rsid w:val="00BC5274"/>
    <w:rsid w:val="00C650F8"/>
    <w:rsid w:val="00CB49A2"/>
    <w:rsid w:val="00DE56E1"/>
    <w:rsid w:val="00E81014"/>
    <w:rsid w:val="00EF39CB"/>
    <w:rsid w:val="00F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D93D-A303-4DF6-83D0-3719B398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28</cp:revision>
  <cp:lastPrinted>2021-03-18T04:33:00Z</cp:lastPrinted>
  <dcterms:created xsi:type="dcterms:W3CDTF">2019-08-29T04:45:00Z</dcterms:created>
  <dcterms:modified xsi:type="dcterms:W3CDTF">2021-11-25T04:31:00Z</dcterms:modified>
</cp:coreProperties>
</file>